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8096F">
      <w:pPr>
        <w:jc w:val="both"/>
        <w:rPr>
          <w:sz w:val="32"/>
          <w:szCs w:val="32"/>
        </w:rPr>
      </w:pPr>
      <w:r>
        <w:rPr>
          <w:rFonts w:hint="eastAsia" w:ascii="宋体" w:hAnsi="宋体" w:eastAsia="宋体" w:cs="宋体"/>
          <w:b/>
          <w:sz w:val="32"/>
          <w:szCs w:val="32"/>
        </w:rPr>
        <w:t>附件3</w:t>
      </w:r>
    </w:p>
    <w:p w14:paraId="11C0C6FA">
      <w:pPr>
        <w:jc w:val="center"/>
        <w:rPr>
          <w:sz w:val="32"/>
          <w:szCs w:val="32"/>
        </w:rPr>
      </w:pPr>
      <w:r>
        <w:rPr>
          <w:rFonts w:hint="eastAsia" w:ascii="方正小标宋_GBK" w:hAnsi="方正小标宋_GBK" w:eastAsia="方正小标宋_GBK" w:cs="方正小标宋_GBK"/>
          <w:b/>
          <w:sz w:val="44"/>
          <w:szCs w:val="44"/>
        </w:rPr>
        <w:t>综合评分表</w:t>
      </w:r>
    </w:p>
    <w:tbl>
      <w:tblPr>
        <w:tblStyle w:val="3"/>
        <w:tblW w:w="9840"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515"/>
        <w:gridCol w:w="6555"/>
        <w:gridCol w:w="870"/>
      </w:tblGrid>
      <w:tr w14:paraId="2D8F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00" w:type="dxa"/>
          </w:tcPr>
          <w:p w14:paraId="010BE8BD">
            <w:pPr>
              <w:spacing w:after="0" w:line="240" w:lineRule="auto"/>
              <w:jc w:val="center"/>
              <w:rPr>
                <w:sz w:val="32"/>
                <w:szCs w:val="32"/>
              </w:rPr>
            </w:pPr>
            <w:r>
              <w:rPr>
                <w:rFonts w:ascii="仿宋_GB2312" w:hAnsi="仿宋_GB2312" w:eastAsia="仿宋_GB2312"/>
                <w:b/>
                <w:sz w:val="32"/>
                <w:szCs w:val="32"/>
              </w:rPr>
              <w:t>序号</w:t>
            </w:r>
          </w:p>
        </w:tc>
        <w:tc>
          <w:tcPr>
            <w:tcW w:w="1515" w:type="dxa"/>
            <w:vAlign w:val="center"/>
          </w:tcPr>
          <w:p w14:paraId="14615B50">
            <w:pPr>
              <w:spacing w:after="0" w:line="240" w:lineRule="auto"/>
              <w:jc w:val="center"/>
              <w:rPr>
                <w:sz w:val="32"/>
                <w:szCs w:val="32"/>
              </w:rPr>
            </w:pPr>
            <w:r>
              <w:rPr>
                <w:rFonts w:ascii="仿宋_GB2312" w:hAnsi="仿宋_GB2312" w:eastAsia="仿宋_GB2312"/>
                <w:b/>
                <w:sz w:val="32"/>
                <w:szCs w:val="32"/>
              </w:rPr>
              <w:t>评比项目</w:t>
            </w:r>
          </w:p>
        </w:tc>
        <w:tc>
          <w:tcPr>
            <w:tcW w:w="6555" w:type="dxa"/>
            <w:vAlign w:val="center"/>
          </w:tcPr>
          <w:p w14:paraId="41B29820">
            <w:pPr>
              <w:spacing w:after="0" w:line="240" w:lineRule="auto"/>
              <w:jc w:val="center"/>
              <w:rPr>
                <w:sz w:val="32"/>
                <w:szCs w:val="32"/>
              </w:rPr>
            </w:pPr>
            <w:r>
              <w:rPr>
                <w:rFonts w:ascii="仿宋_GB2312" w:hAnsi="仿宋_GB2312" w:eastAsia="仿宋_GB2312"/>
                <w:b/>
                <w:sz w:val="32"/>
                <w:szCs w:val="32"/>
              </w:rPr>
              <w:t>评分依据</w:t>
            </w:r>
          </w:p>
        </w:tc>
        <w:tc>
          <w:tcPr>
            <w:tcW w:w="870" w:type="dxa"/>
            <w:vAlign w:val="center"/>
          </w:tcPr>
          <w:p w14:paraId="16DEE82E">
            <w:pPr>
              <w:spacing w:after="0" w:line="240" w:lineRule="auto"/>
              <w:jc w:val="left"/>
              <w:rPr>
                <w:sz w:val="32"/>
                <w:szCs w:val="32"/>
              </w:rPr>
            </w:pPr>
            <w:r>
              <w:rPr>
                <w:rFonts w:ascii="仿宋_GB2312" w:hAnsi="仿宋_GB2312" w:eastAsia="仿宋_GB2312"/>
                <w:b/>
                <w:sz w:val="32"/>
                <w:szCs w:val="32"/>
              </w:rPr>
              <w:t>分值</w:t>
            </w:r>
          </w:p>
        </w:tc>
      </w:tr>
      <w:tr w14:paraId="5B9C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6" w:hRule="atLeast"/>
        </w:trPr>
        <w:tc>
          <w:tcPr>
            <w:tcW w:w="900" w:type="dxa"/>
            <w:vAlign w:val="center"/>
          </w:tcPr>
          <w:p w14:paraId="26188B7F">
            <w:pPr>
              <w:spacing w:after="0" w:line="240" w:lineRule="auto"/>
              <w:jc w:val="center"/>
              <w:rPr>
                <w:sz w:val="32"/>
                <w:szCs w:val="32"/>
              </w:rPr>
            </w:pPr>
            <w:r>
              <w:rPr>
                <w:rFonts w:ascii="仿宋_GB2312" w:hAnsi="仿宋_GB2312" w:eastAsia="仿宋_GB2312"/>
                <w:b w:val="0"/>
                <w:sz w:val="32"/>
                <w:szCs w:val="32"/>
              </w:rPr>
              <w:t>1</w:t>
            </w:r>
          </w:p>
        </w:tc>
        <w:tc>
          <w:tcPr>
            <w:tcW w:w="1515" w:type="dxa"/>
            <w:vAlign w:val="center"/>
          </w:tcPr>
          <w:p w14:paraId="607B5AD0">
            <w:pPr>
              <w:spacing w:after="0" w:line="240" w:lineRule="auto"/>
              <w:jc w:val="left"/>
              <w:rPr>
                <w:sz w:val="32"/>
                <w:szCs w:val="32"/>
              </w:rPr>
            </w:pPr>
            <w:r>
              <w:rPr>
                <w:rFonts w:ascii="仿宋_GB2312" w:hAnsi="仿宋_GB2312" w:eastAsia="仿宋_GB2312"/>
                <w:b w:val="0"/>
                <w:sz w:val="32"/>
                <w:szCs w:val="32"/>
                <w:woUserID w:val="4"/>
              </w:rPr>
              <w:t>公益</w:t>
            </w:r>
            <w:r>
              <w:rPr>
                <w:rFonts w:ascii="仿宋_GB2312" w:hAnsi="仿宋_GB2312" w:eastAsia="仿宋_GB2312"/>
                <w:b w:val="0"/>
                <w:sz w:val="32"/>
                <w:szCs w:val="32"/>
              </w:rPr>
              <w:t>研学活动执行方案</w:t>
            </w:r>
          </w:p>
        </w:tc>
        <w:tc>
          <w:tcPr>
            <w:tcW w:w="6555" w:type="dxa"/>
            <w:vAlign w:val="center"/>
          </w:tcPr>
          <w:p w14:paraId="4DE5CFC4">
            <w:pPr>
              <w:spacing w:after="0" w:line="240" w:lineRule="auto"/>
              <w:jc w:val="both"/>
              <w:rPr>
                <w:sz w:val="30"/>
                <w:szCs w:val="30"/>
              </w:rPr>
            </w:pPr>
            <w:r>
              <w:rPr>
                <w:rFonts w:ascii="仿宋_GB2312" w:hAnsi="仿宋_GB2312" w:eastAsia="仿宋_GB2312"/>
                <w:b w:val="0"/>
                <w:bCs w:val="0"/>
                <w:sz w:val="30"/>
                <w:szCs w:val="30"/>
              </w:rPr>
              <w:t>评分要求：</w:t>
            </w:r>
            <w:r>
              <w:rPr>
                <w:rFonts w:ascii="仿宋_GB2312" w:hAnsi="仿宋_GB2312" w:eastAsia="仿宋_GB2312"/>
                <w:b w:val="0"/>
                <w:sz w:val="30"/>
                <w:szCs w:val="30"/>
              </w:rPr>
              <w:t>结合《研学旅行（实践）课程设计指南》（T/HNTA 0004—2025）、《研学旅行（实践）安全管理指南》（T/HNTA 0003—2025）等规定，重点围绕“生态保护红线的守护——海南东寨港红树林自然保护区见学”研学活动（红树林与湿地、生态修复），“海洋生物多样性保护”研学活动（海洋生态治理、海洋资源保护）等2个活动提供完整执行方案</w:t>
            </w:r>
            <w:r>
              <w:rPr>
                <w:rFonts w:ascii="仿宋_GB2312" w:hAnsi="仿宋_GB2312" w:eastAsia="仿宋_GB2312"/>
                <w:b w:val="0"/>
                <w:sz w:val="30"/>
                <w:szCs w:val="30"/>
                <w:woUserID w:val="2"/>
              </w:rPr>
              <w:t>（其中1个活动需将展馆作为活动地点之一）</w:t>
            </w:r>
            <w:r>
              <w:rPr>
                <w:rFonts w:ascii="仿宋_GB2312" w:hAnsi="仿宋_GB2312" w:eastAsia="仿宋_GB2312"/>
                <w:b w:val="0"/>
                <w:sz w:val="30"/>
                <w:szCs w:val="30"/>
              </w:rPr>
              <w:t>，需包含各场次主题契合度、内容设计科学性、实践环节可操作性、业务联动匹配度、教育目标达成路径、安全保障措施等内容。方案需贴合我省自然资源和规划领域重点工作与青少年科普教育特点。</w:t>
            </w:r>
            <w:r>
              <w:rPr>
                <w:rFonts w:ascii="仿宋_GB2312" w:hAnsi="仿宋_GB2312" w:eastAsia="仿宋_GB2312"/>
                <w:b w:val="0"/>
                <w:sz w:val="30"/>
                <w:szCs w:val="30"/>
              </w:rPr>
              <w:br w:type="textWrapping"/>
            </w:r>
            <w:r>
              <w:rPr>
                <w:rFonts w:ascii="仿宋_GB2312" w:hAnsi="仿宋_GB2312" w:eastAsia="仿宋_GB2312"/>
                <w:b w:val="0"/>
                <w:sz w:val="30"/>
                <w:szCs w:val="30"/>
              </w:rPr>
              <w:br w:type="textWrapping"/>
            </w:r>
            <w:r>
              <w:rPr>
                <w:rFonts w:ascii="仿宋_GB2312" w:hAnsi="仿宋_GB2312" w:eastAsia="仿宋_GB2312"/>
                <w:b w:val="0"/>
                <w:sz w:val="30"/>
                <w:szCs w:val="30"/>
              </w:rPr>
              <w:t>1.方案同自然资源科普关联性强，课程设计出色，实践环节丰富，教育目标清晰，安全保障严格规范，得40分；</w:t>
            </w:r>
            <w:r>
              <w:rPr>
                <w:rFonts w:ascii="仿宋_GB2312" w:hAnsi="仿宋_GB2312" w:eastAsia="仿宋_GB2312"/>
                <w:b w:val="0"/>
                <w:sz w:val="30"/>
                <w:szCs w:val="30"/>
              </w:rPr>
              <w:br w:type="textWrapping"/>
            </w:r>
            <w:r>
              <w:rPr>
                <w:rFonts w:ascii="仿宋_GB2312" w:hAnsi="仿宋_GB2312" w:eastAsia="仿宋_GB2312"/>
                <w:b w:val="0"/>
                <w:sz w:val="30"/>
                <w:szCs w:val="30"/>
              </w:rPr>
              <w:t>2.方案同自然资源科普关联性较强，课程设计较为出色，实践环节较为丰富，教育目标较为清晰，安全保障较为严格规范，得30分；</w:t>
            </w:r>
            <w:r>
              <w:rPr>
                <w:rFonts w:ascii="仿宋_GB2312" w:hAnsi="仿宋_GB2312" w:eastAsia="仿宋_GB2312"/>
                <w:b w:val="0"/>
                <w:sz w:val="30"/>
                <w:szCs w:val="30"/>
              </w:rPr>
              <w:br w:type="textWrapping"/>
            </w:r>
            <w:r>
              <w:rPr>
                <w:rFonts w:ascii="仿宋_GB2312" w:hAnsi="仿宋_GB2312" w:eastAsia="仿宋_GB2312"/>
                <w:b w:val="0"/>
                <w:sz w:val="30"/>
                <w:szCs w:val="30"/>
              </w:rPr>
              <w:t>3.方案同自然资源科普关联性一般，课程设计合理，实践环节一般，教育目标一般，安全保障到位，得20分；</w:t>
            </w:r>
            <w:r>
              <w:rPr>
                <w:rFonts w:ascii="仿宋_GB2312" w:hAnsi="仿宋_GB2312" w:eastAsia="仿宋_GB2312"/>
                <w:b w:val="0"/>
                <w:sz w:val="30"/>
                <w:szCs w:val="30"/>
              </w:rPr>
              <w:br w:type="textWrapping"/>
            </w:r>
            <w:r>
              <w:rPr>
                <w:rFonts w:ascii="仿宋_GB2312" w:hAnsi="仿宋_GB2312" w:eastAsia="仿宋_GB2312"/>
                <w:b w:val="0"/>
                <w:sz w:val="30"/>
                <w:szCs w:val="30"/>
              </w:rPr>
              <w:t>4.方案同自然资源科普关联性较弱，课程设计一般，实践环节不足，教育目标模糊，安全保障基本到位，得10分。</w:t>
            </w:r>
          </w:p>
        </w:tc>
        <w:tc>
          <w:tcPr>
            <w:tcW w:w="870" w:type="dxa"/>
            <w:vAlign w:val="center"/>
          </w:tcPr>
          <w:p w14:paraId="396F5869">
            <w:pPr>
              <w:spacing w:after="0" w:line="240" w:lineRule="auto"/>
              <w:jc w:val="center"/>
              <w:rPr>
                <w:sz w:val="32"/>
                <w:szCs w:val="32"/>
              </w:rPr>
            </w:pPr>
            <w:r>
              <w:rPr>
                <w:rFonts w:ascii="仿宋_GB2312" w:hAnsi="仿宋_GB2312" w:eastAsia="仿宋_GB2312"/>
                <w:b w:val="0"/>
                <w:sz w:val="32"/>
                <w:szCs w:val="32"/>
              </w:rPr>
              <w:t>40</w:t>
            </w:r>
          </w:p>
        </w:tc>
      </w:tr>
      <w:tr w14:paraId="309C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124855D4">
            <w:pPr>
              <w:spacing w:after="0" w:line="240" w:lineRule="auto"/>
              <w:jc w:val="center"/>
              <w:rPr>
                <w:sz w:val="32"/>
                <w:szCs w:val="32"/>
              </w:rPr>
            </w:pPr>
            <w:r>
              <w:rPr>
                <w:rFonts w:ascii="仿宋_GB2312" w:hAnsi="仿宋_GB2312" w:eastAsia="仿宋_GB2312"/>
                <w:b w:val="0"/>
                <w:sz w:val="32"/>
                <w:szCs w:val="32"/>
              </w:rPr>
              <w:t>2</w:t>
            </w:r>
          </w:p>
        </w:tc>
        <w:tc>
          <w:tcPr>
            <w:tcW w:w="1515" w:type="dxa"/>
            <w:vAlign w:val="center"/>
          </w:tcPr>
          <w:p w14:paraId="28717283">
            <w:pPr>
              <w:spacing w:after="0" w:line="240" w:lineRule="auto"/>
              <w:jc w:val="left"/>
              <w:rPr>
                <w:sz w:val="32"/>
                <w:szCs w:val="32"/>
              </w:rPr>
            </w:pPr>
            <w:r>
              <w:rPr>
                <w:rFonts w:ascii="仿宋_GB2312" w:hAnsi="仿宋_GB2312" w:eastAsia="仿宋_GB2312"/>
                <w:b w:val="0"/>
                <w:sz w:val="32"/>
                <w:szCs w:val="32"/>
                <w:woUserID w:val="4"/>
              </w:rPr>
              <w:t>公益</w:t>
            </w:r>
            <w:r>
              <w:rPr>
                <w:rFonts w:ascii="仿宋_GB2312" w:hAnsi="仿宋_GB2312" w:eastAsia="仿宋_GB2312"/>
                <w:b w:val="0"/>
                <w:sz w:val="32"/>
                <w:szCs w:val="32"/>
              </w:rPr>
              <w:t>研学活动配套执行模板</w:t>
            </w:r>
          </w:p>
        </w:tc>
        <w:tc>
          <w:tcPr>
            <w:tcW w:w="6555" w:type="dxa"/>
          </w:tcPr>
          <w:p w14:paraId="3CAA2FDD">
            <w:pPr>
              <w:spacing w:after="0" w:line="240" w:lineRule="auto"/>
              <w:jc w:val="both"/>
              <w:rPr>
                <w:sz w:val="30"/>
                <w:szCs w:val="30"/>
              </w:rPr>
            </w:pPr>
            <w:r>
              <w:rPr>
                <w:rFonts w:ascii="仿宋_GB2312" w:hAnsi="仿宋_GB2312" w:eastAsia="仿宋_GB2312"/>
                <w:b w:val="0"/>
                <w:sz w:val="30"/>
                <w:szCs w:val="30"/>
              </w:rPr>
              <w:t>评分要求：结合研学全流程管理，提供标准化配套模板，包含但不限于：活动报名登记表、行前告知书、安全应急预案、活动签到表、学生实践反馈表、活动成果统计表、家长满意度调查问卷、项目台账记录表等。</w:t>
            </w:r>
            <w:r>
              <w:rPr>
                <w:rFonts w:ascii="仿宋_GB2312" w:hAnsi="仿宋_GB2312" w:eastAsia="仿宋_GB2312"/>
                <w:b w:val="0"/>
                <w:sz w:val="30"/>
                <w:szCs w:val="30"/>
              </w:rPr>
              <w:br w:type="textWrapping"/>
            </w:r>
            <w:r>
              <w:rPr>
                <w:rFonts w:ascii="仿宋_GB2312" w:hAnsi="仿宋_GB2312" w:eastAsia="仿宋_GB2312"/>
                <w:b w:val="0"/>
                <w:sz w:val="30"/>
                <w:szCs w:val="30"/>
              </w:rPr>
              <w:t>模板覆盖全周期，内容完整规范，操作性强，得15分；</w:t>
            </w:r>
            <w:r>
              <w:rPr>
                <w:rFonts w:ascii="仿宋_GB2312" w:hAnsi="仿宋_GB2312" w:eastAsia="仿宋_GB2312"/>
                <w:b w:val="0"/>
                <w:sz w:val="30"/>
                <w:szCs w:val="30"/>
              </w:rPr>
              <w:br w:type="textWrapping"/>
            </w:r>
            <w:r>
              <w:rPr>
                <w:rFonts w:ascii="仿宋_GB2312" w:hAnsi="仿宋_GB2312" w:eastAsia="仿宋_GB2312"/>
                <w:b w:val="0"/>
                <w:sz w:val="30"/>
                <w:szCs w:val="30"/>
              </w:rPr>
              <w:t>模板覆盖主要流程，内容完整，操作性一般，得10分；</w:t>
            </w:r>
            <w:r>
              <w:rPr>
                <w:rFonts w:ascii="仿宋_GB2312" w:hAnsi="仿宋_GB2312" w:eastAsia="仿宋_GB2312"/>
                <w:b w:val="0"/>
                <w:sz w:val="30"/>
                <w:szCs w:val="30"/>
              </w:rPr>
              <w:br w:type="textWrapping"/>
            </w:r>
            <w:r>
              <w:rPr>
                <w:rFonts w:ascii="仿宋_GB2312" w:hAnsi="仿宋_GB2312" w:eastAsia="仿宋_GB2312"/>
                <w:b w:val="0"/>
                <w:sz w:val="30"/>
                <w:szCs w:val="30"/>
              </w:rPr>
              <w:t>模板覆盖基础环节，内容零散，操作性弱，得5分；</w:t>
            </w:r>
            <w:r>
              <w:rPr>
                <w:rFonts w:ascii="仿宋_GB2312" w:hAnsi="仿宋_GB2312" w:eastAsia="仿宋_GB2312"/>
                <w:b w:val="0"/>
                <w:sz w:val="30"/>
                <w:szCs w:val="30"/>
              </w:rPr>
              <w:br w:type="textWrapping"/>
            </w:r>
            <w:r>
              <w:rPr>
                <w:rFonts w:ascii="仿宋_GB2312" w:hAnsi="仿宋_GB2312" w:eastAsia="仿宋_GB2312"/>
                <w:b w:val="0"/>
                <w:sz w:val="30"/>
                <w:szCs w:val="30"/>
              </w:rPr>
              <w:t>未提供任何配套模板的，本项不得分。</w:t>
            </w:r>
          </w:p>
        </w:tc>
        <w:tc>
          <w:tcPr>
            <w:tcW w:w="870" w:type="dxa"/>
            <w:vAlign w:val="center"/>
          </w:tcPr>
          <w:p w14:paraId="23271320">
            <w:pPr>
              <w:spacing w:after="0" w:line="240" w:lineRule="auto"/>
              <w:jc w:val="left"/>
              <w:rPr>
                <w:sz w:val="32"/>
                <w:szCs w:val="32"/>
              </w:rPr>
            </w:pPr>
            <w:r>
              <w:rPr>
                <w:rFonts w:ascii="仿宋_GB2312" w:hAnsi="仿宋_GB2312" w:eastAsia="仿宋_GB2312"/>
                <w:b w:val="0"/>
                <w:sz w:val="32"/>
                <w:szCs w:val="32"/>
              </w:rPr>
              <w:t>15</w:t>
            </w:r>
          </w:p>
        </w:tc>
      </w:tr>
      <w:tr w14:paraId="2CD6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7A245356">
            <w:pPr>
              <w:spacing w:after="0" w:line="240" w:lineRule="auto"/>
              <w:jc w:val="center"/>
              <w:rPr>
                <w:sz w:val="32"/>
                <w:szCs w:val="32"/>
              </w:rPr>
            </w:pPr>
            <w:r>
              <w:rPr>
                <w:rFonts w:ascii="仿宋_GB2312" w:hAnsi="仿宋_GB2312" w:eastAsia="仿宋_GB2312"/>
                <w:b w:val="0"/>
                <w:sz w:val="32"/>
                <w:szCs w:val="32"/>
              </w:rPr>
              <w:t>3</w:t>
            </w:r>
          </w:p>
        </w:tc>
        <w:tc>
          <w:tcPr>
            <w:tcW w:w="1515" w:type="dxa"/>
            <w:vAlign w:val="center"/>
          </w:tcPr>
          <w:p w14:paraId="4323221C">
            <w:pPr>
              <w:spacing w:after="0" w:line="240" w:lineRule="auto"/>
              <w:jc w:val="left"/>
              <w:rPr>
                <w:sz w:val="32"/>
                <w:szCs w:val="32"/>
              </w:rPr>
            </w:pPr>
            <w:r>
              <w:rPr>
                <w:rFonts w:ascii="仿宋_GB2312" w:hAnsi="仿宋_GB2312" w:eastAsia="仿宋_GB2312"/>
                <w:b w:val="0"/>
                <w:sz w:val="32"/>
                <w:szCs w:val="32"/>
              </w:rPr>
              <w:t>同类项目业绩</w:t>
            </w:r>
          </w:p>
        </w:tc>
        <w:tc>
          <w:tcPr>
            <w:tcW w:w="6555" w:type="dxa"/>
          </w:tcPr>
          <w:p w14:paraId="5CCCC319">
            <w:pPr>
              <w:spacing w:after="0" w:line="240" w:lineRule="auto"/>
              <w:jc w:val="both"/>
              <w:rPr>
                <w:sz w:val="30"/>
                <w:szCs w:val="30"/>
              </w:rPr>
            </w:pPr>
            <w:r>
              <w:rPr>
                <w:rFonts w:ascii="仿宋_GB2312" w:hAnsi="仿宋_GB2312" w:eastAsia="仿宋_GB2312"/>
                <w:b w:val="0"/>
                <w:sz w:val="30"/>
                <w:szCs w:val="30"/>
              </w:rPr>
              <w:t>提供2023年1月1日至今承接的科普、研学实践等活动相关业绩证明材料，提供1份得3分，满分1</w:t>
            </w:r>
            <w:r>
              <w:rPr>
                <w:rFonts w:ascii="仿宋_GB2312" w:hAnsi="仿宋_GB2312" w:eastAsia="仿宋_GB2312"/>
                <w:b w:val="0"/>
                <w:sz w:val="30"/>
                <w:szCs w:val="30"/>
                <w:woUserID w:val="1"/>
              </w:rPr>
              <w:t>8</w:t>
            </w:r>
            <w:r>
              <w:rPr>
                <w:rFonts w:ascii="仿宋_GB2312" w:hAnsi="仿宋_GB2312" w:eastAsia="仿宋_GB2312"/>
                <w:b w:val="0"/>
                <w:sz w:val="30"/>
                <w:szCs w:val="30"/>
              </w:rPr>
              <w:t>分。（提供合同复印件和加盖公章）</w:t>
            </w:r>
          </w:p>
        </w:tc>
        <w:tc>
          <w:tcPr>
            <w:tcW w:w="870" w:type="dxa"/>
            <w:vAlign w:val="center"/>
          </w:tcPr>
          <w:p w14:paraId="5216AF83">
            <w:pPr>
              <w:spacing w:after="0" w:line="240" w:lineRule="auto"/>
              <w:jc w:val="center"/>
              <w:rPr>
                <w:sz w:val="32"/>
                <w:szCs w:val="32"/>
              </w:rPr>
            </w:pPr>
            <w:r>
              <w:rPr>
                <w:rFonts w:ascii="仿宋_GB2312" w:hAnsi="仿宋_GB2312" w:eastAsia="仿宋_GB2312"/>
                <w:b w:val="0"/>
                <w:sz w:val="32"/>
                <w:szCs w:val="32"/>
              </w:rPr>
              <w:t>1</w:t>
            </w:r>
            <w:r>
              <w:rPr>
                <w:rFonts w:ascii="仿宋_GB2312" w:hAnsi="仿宋_GB2312" w:eastAsia="仿宋_GB2312"/>
                <w:b w:val="0"/>
                <w:sz w:val="32"/>
                <w:szCs w:val="32"/>
                <w:woUserID w:val="1"/>
              </w:rPr>
              <w:t>8</w:t>
            </w:r>
          </w:p>
        </w:tc>
      </w:tr>
      <w:tr w14:paraId="5A5E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trPr>
        <w:tc>
          <w:tcPr>
            <w:tcW w:w="900" w:type="dxa"/>
            <w:vAlign w:val="center"/>
          </w:tcPr>
          <w:p w14:paraId="21550FD9">
            <w:pPr>
              <w:spacing w:after="0" w:line="240" w:lineRule="auto"/>
              <w:jc w:val="center"/>
              <w:rPr>
                <w:sz w:val="32"/>
                <w:szCs w:val="32"/>
              </w:rPr>
            </w:pPr>
            <w:r>
              <w:rPr>
                <w:rFonts w:ascii="仿宋_GB2312" w:hAnsi="仿宋_GB2312" w:eastAsia="仿宋_GB2312"/>
                <w:b w:val="0"/>
                <w:sz w:val="32"/>
                <w:szCs w:val="32"/>
              </w:rPr>
              <w:t>4</w:t>
            </w:r>
          </w:p>
        </w:tc>
        <w:tc>
          <w:tcPr>
            <w:tcW w:w="1515" w:type="dxa"/>
            <w:vAlign w:val="center"/>
          </w:tcPr>
          <w:p w14:paraId="0B46925B">
            <w:pPr>
              <w:spacing w:after="0" w:line="240" w:lineRule="auto"/>
              <w:jc w:val="left"/>
              <w:rPr>
                <w:sz w:val="32"/>
                <w:szCs w:val="32"/>
              </w:rPr>
            </w:pPr>
            <w:r>
              <w:rPr>
                <w:rFonts w:ascii="仿宋_GB2312" w:hAnsi="仿宋_GB2312" w:eastAsia="仿宋_GB2312"/>
                <w:b w:val="0"/>
                <w:sz w:val="32"/>
                <w:szCs w:val="32"/>
                <w:woUserID w:val="4"/>
              </w:rPr>
              <w:t>公益</w:t>
            </w:r>
            <w:r>
              <w:rPr>
                <w:rFonts w:ascii="仿宋_GB2312" w:hAnsi="仿宋_GB2312" w:eastAsia="仿宋_GB2312"/>
                <w:b w:val="0"/>
                <w:sz w:val="32"/>
                <w:szCs w:val="32"/>
              </w:rPr>
              <w:t>研学成果</w:t>
            </w:r>
          </w:p>
        </w:tc>
        <w:tc>
          <w:tcPr>
            <w:tcW w:w="6555" w:type="dxa"/>
          </w:tcPr>
          <w:p w14:paraId="7131F49A">
            <w:pPr>
              <w:spacing w:after="0" w:line="240" w:lineRule="auto"/>
              <w:jc w:val="both"/>
              <w:rPr>
                <w:sz w:val="30"/>
                <w:szCs w:val="30"/>
              </w:rPr>
            </w:pPr>
            <w:r>
              <w:rPr>
                <w:rFonts w:ascii="仿宋_GB2312" w:hAnsi="仿宋_GB2312" w:eastAsia="仿宋_GB2312"/>
                <w:b w:val="0"/>
                <w:sz w:val="30"/>
                <w:szCs w:val="30"/>
              </w:rPr>
              <w:br w:type="textWrapping"/>
            </w:r>
            <w:r>
              <w:rPr>
                <w:rFonts w:ascii="仿宋_GB2312" w:hAnsi="仿宋_GB2312" w:eastAsia="仿宋_GB2312"/>
                <w:b w:val="0"/>
                <w:sz w:val="30"/>
                <w:szCs w:val="30"/>
              </w:rPr>
              <w:t>在提供采购需求公告要求成果的基础上，提出延伸扩展活动成果的建议，如研学实践课程设计、“大思政课”实践教育课程等，拓展形成1个成果得3分，满分6分。（提供承诺函和加盖公章）</w:t>
            </w:r>
          </w:p>
        </w:tc>
        <w:tc>
          <w:tcPr>
            <w:tcW w:w="870" w:type="dxa"/>
            <w:vAlign w:val="center"/>
          </w:tcPr>
          <w:p w14:paraId="705CD913">
            <w:pPr>
              <w:spacing w:after="0" w:line="240" w:lineRule="auto"/>
              <w:jc w:val="center"/>
              <w:rPr>
                <w:sz w:val="32"/>
                <w:szCs w:val="32"/>
              </w:rPr>
            </w:pPr>
            <w:r>
              <w:rPr>
                <w:rFonts w:ascii="仿宋_GB2312" w:hAnsi="仿宋_GB2312" w:eastAsia="仿宋_GB2312"/>
                <w:b w:val="0"/>
                <w:sz w:val="32"/>
                <w:szCs w:val="32"/>
                <w:woUserID w:val="1"/>
              </w:rPr>
              <w:t>6</w:t>
            </w:r>
          </w:p>
        </w:tc>
      </w:tr>
      <w:tr w14:paraId="065A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2A3E1EAA">
            <w:pPr>
              <w:spacing w:after="0" w:line="240" w:lineRule="auto"/>
              <w:jc w:val="center"/>
              <w:rPr>
                <w:sz w:val="32"/>
                <w:szCs w:val="32"/>
              </w:rPr>
            </w:pPr>
            <w:r>
              <w:rPr>
                <w:rFonts w:ascii="仿宋_GB2312" w:hAnsi="仿宋_GB2312" w:eastAsia="仿宋_GB2312"/>
                <w:b w:val="0"/>
                <w:sz w:val="32"/>
                <w:szCs w:val="32"/>
              </w:rPr>
              <w:t>5</w:t>
            </w:r>
          </w:p>
        </w:tc>
        <w:tc>
          <w:tcPr>
            <w:tcW w:w="1515" w:type="dxa"/>
            <w:vAlign w:val="center"/>
          </w:tcPr>
          <w:p w14:paraId="44D26F41">
            <w:pPr>
              <w:spacing w:after="0" w:line="240" w:lineRule="auto"/>
              <w:jc w:val="left"/>
              <w:rPr>
                <w:sz w:val="32"/>
                <w:szCs w:val="32"/>
              </w:rPr>
            </w:pPr>
            <w:r>
              <w:rPr>
                <w:rFonts w:ascii="仿宋_GB2312" w:hAnsi="仿宋_GB2312" w:eastAsia="仿宋_GB2312"/>
                <w:b w:val="0"/>
                <w:sz w:val="32"/>
                <w:szCs w:val="32"/>
              </w:rPr>
              <w:t>企业资质</w:t>
            </w:r>
          </w:p>
        </w:tc>
        <w:tc>
          <w:tcPr>
            <w:tcW w:w="6555" w:type="dxa"/>
          </w:tcPr>
          <w:p w14:paraId="2A4E9E9D">
            <w:pPr>
              <w:spacing w:after="0" w:line="240" w:lineRule="auto"/>
              <w:jc w:val="both"/>
              <w:rPr>
                <w:sz w:val="30"/>
                <w:szCs w:val="30"/>
              </w:rPr>
            </w:pPr>
            <w:r>
              <w:rPr>
                <w:rFonts w:ascii="仿宋_GB2312" w:hAnsi="仿宋_GB2312" w:eastAsia="仿宋_GB2312"/>
                <w:b w:val="0"/>
                <w:sz w:val="30"/>
                <w:szCs w:val="30"/>
              </w:rPr>
              <w:t>具有旅行社业务经营许可证，提供得6分。（提供证书复印件和加盖公章）</w:t>
            </w:r>
          </w:p>
        </w:tc>
        <w:tc>
          <w:tcPr>
            <w:tcW w:w="870" w:type="dxa"/>
            <w:vAlign w:val="center"/>
          </w:tcPr>
          <w:p w14:paraId="7255FAB8">
            <w:pPr>
              <w:spacing w:after="0" w:line="240" w:lineRule="auto"/>
              <w:jc w:val="center"/>
              <w:rPr>
                <w:sz w:val="32"/>
                <w:szCs w:val="32"/>
              </w:rPr>
            </w:pPr>
            <w:r>
              <w:rPr>
                <w:rFonts w:ascii="仿宋_GB2312" w:hAnsi="仿宋_GB2312" w:eastAsia="仿宋_GB2312"/>
                <w:b w:val="0"/>
                <w:sz w:val="32"/>
                <w:szCs w:val="32"/>
              </w:rPr>
              <w:t>6</w:t>
            </w:r>
          </w:p>
        </w:tc>
      </w:tr>
      <w:tr w14:paraId="0EFE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7B7C884D">
            <w:pPr>
              <w:spacing w:after="0" w:line="240" w:lineRule="auto"/>
              <w:jc w:val="center"/>
              <w:rPr>
                <w:sz w:val="32"/>
                <w:szCs w:val="32"/>
              </w:rPr>
            </w:pPr>
            <w:r>
              <w:rPr>
                <w:rFonts w:ascii="仿宋_GB2312" w:hAnsi="仿宋_GB2312" w:eastAsia="仿宋_GB2312"/>
                <w:b w:val="0"/>
                <w:sz w:val="32"/>
                <w:szCs w:val="32"/>
              </w:rPr>
              <w:t>6</w:t>
            </w:r>
          </w:p>
        </w:tc>
        <w:tc>
          <w:tcPr>
            <w:tcW w:w="1515" w:type="dxa"/>
            <w:vAlign w:val="center"/>
          </w:tcPr>
          <w:p w14:paraId="09788782">
            <w:pPr>
              <w:spacing w:after="0" w:line="240" w:lineRule="auto"/>
              <w:jc w:val="center"/>
              <w:rPr>
                <w:sz w:val="32"/>
                <w:szCs w:val="32"/>
              </w:rPr>
            </w:pPr>
            <w:r>
              <w:rPr>
                <w:rFonts w:ascii="仿宋_GB2312" w:hAnsi="仿宋_GB2312" w:eastAsia="仿宋_GB2312"/>
                <w:b w:val="0"/>
                <w:sz w:val="32"/>
                <w:szCs w:val="32"/>
              </w:rPr>
              <w:t>价格</w:t>
            </w:r>
          </w:p>
        </w:tc>
        <w:tc>
          <w:tcPr>
            <w:tcW w:w="6555" w:type="dxa"/>
          </w:tcPr>
          <w:p w14:paraId="0D8B701B">
            <w:pPr>
              <w:spacing w:after="0" w:line="240" w:lineRule="auto"/>
              <w:jc w:val="both"/>
              <w:rPr>
                <w:sz w:val="30"/>
                <w:szCs w:val="30"/>
              </w:rPr>
            </w:pPr>
            <w:r>
              <w:rPr>
                <w:rFonts w:ascii="仿宋_GB2312" w:hAnsi="仿宋_GB2312" w:eastAsia="仿宋_GB2312"/>
                <w:b w:val="0"/>
                <w:sz w:val="30"/>
                <w:szCs w:val="30"/>
              </w:rPr>
              <w:t>评标基准价指满足本需求公告资格要求及报名材料要求且响应价格最低的响应报价。</w:t>
            </w:r>
            <w:r>
              <w:rPr>
                <w:rFonts w:ascii="仿宋_GB2312" w:hAnsi="仿宋_GB2312" w:eastAsia="仿宋_GB2312"/>
                <w:b w:val="0"/>
                <w:sz w:val="30"/>
                <w:szCs w:val="30"/>
              </w:rPr>
              <w:br w:type="textWrapping"/>
            </w:r>
            <w:r>
              <w:rPr>
                <w:rFonts w:ascii="仿宋_GB2312" w:hAnsi="仿宋_GB2312" w:eastAsia="仿宋_GB2312"/>
                <w:b w:val="0"/>
                <w:sz w:val="30"/>
                <w:szCs w:val="30"/>
              </w:rPr>
              <w:t>价格得分=（评标基准价/响应报价）×价格分值×100%</w:t>
            </w:r>
          </w:p>
        </w:tc>
        <w:tc>
          <w:tcPr>
            <w:tcW w:w="870" w:type="dxa"/>
            <w:vAlign w:val="center"/>
          </w:tcPr>
          <w:p w14:paraId="10706ACD">
            <w:pPr>
              <w:spacing w:after="0" w:line="240" w:lineRule="auto"/>
              <w:jc w:val="center"/>
              <w:rPr>
                <w:sz w:val="32"/>
                <w:szCs w:val="32"/>
              </w:rPr>
            </w:pPr>
            <w:r>
              <w:rPr>
                <w:rFonts w:ascii="仿宋_GB2312" w:hAnsi="仿宋_GB2312" w:eastAsia="仿宋_GB2312"/>
                <w:b w:val="0"/>
                <w:sz w:val="32"/>
                <w:szCs w:val="32"/>
              </w:rPr>
              <w:t>15</w:t>
            </w:r>
          </w:p>
        </w:tc>
      </w:tr>
      <w:tr w14:paraId="5951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4B4BF338">
            <w:pPr>
              <w:spacing w:after="0" w:line="240" w:lineRule="auto"/>
              <w:rPr>
                <w:sz w:val="32"/>
                <w:szCs w:val="32"/>
              </w:rPr>
            </w:pPr>
          </w:p>
        </w:tc>
        <w:tc>
          <w:tcPr>
            <w:tcW w:w="1515" w:type="dxa"/>
          </w:tcPr>
          <w:p w14:paraId="7E3F8658">
            <w:pPr>
              <w:spacing w:after="0" w:line="240" w:lineRule="auto"/>
              <w:rPr>
                <w:sz w:val="32"/>
                <w:szCs w:val="32"/>
              </w:rPr>
            </w:pPr>
            <w:r>
              <w:rPr>
                <w:rFonts w:ascii="仿宋_GB2312" w:hAnsi="仿宋_GB2312" w:eastAsia="仿宋_GB2312"/>
                <w:b/>
                <w:sz w:val="32"/>
                <w:szCs w:val="32"/>
              </w:rPr>
              <w:t>分值合计</w:t>
            </w:r>
          </w:p>
        </w:tc>
        <w:tc>
          <w:tcPr>
            <w:tcW w:w="6555" w:type="dxa"/>
          </w:tcPr>
          <w:p w14:paraId="348FC844">
            <w:pPr>
              <w:spacing w:after="0" w:line="240" w:lineRule="auto"/>
              <w:rPr>
                <w:sz w:val="32"/>
                <w:szCs w:val="32"/>
              </w:rPr>
            </w:pPr>
          </w:p>
        </w:tc>
        <w:tc>
          <w:tcPr>
            <w:tcW w:w="870" w:type="dxa"/>
          </w:tcPr>
          <w:p w14:paraId="237B7799">
            <w:pPr>
              <w:spacing w:after="0" w:line="240" w:lineRule="auto"/>
              <w:rPr>
                <w:sz w:val="32"/>
                <w:szCs w:val="32"/>
              </w:rPr>
            </w:pPr>
            <w:r>
              <w:rPr>
                <w:rFonts w:ascii="仿宋_GB2312" w:hAnsi="仿宋_GB2312" w:eastAsia="仿宋_GB2312"/>
                <w:b/>
                <w:sz w:val="32"/>
                <w:szCs w:val="32"/>
              </w:rPr>
              <w:t>100</w:t>
            </w:r>
          </w:p>
        </w:tc>
      </w:tr>
    </w:tbl>
    <w:p w14:paraId="08B2B2A2">
      <w:bookmarkStart w:id="0" w:name="_GoBack"/>
      <w:bookmarkEnd w:id="0"/>
    </w:p>
    <w:sectPr>
      <w:pgSz w:w="11906" w:h="16838"/>
      <w:pgMar w:top="1304" w:right="1800" w:bottom="1304"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D0CEF"/>
    <w:rsid w:val="33FD0CEF"/>
    <w:rsid w:val="365A3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2026-08-21T02:55:00Z</dcterms:created>
  <dc:creator>梁才</dc:creator>
  <cp:lastModifiedBy>梁才</cp:lastModifiedBy>
  <dcterms:modified xsi:type="dcterms:W3CDTF">2026-08-21T02:56:22Z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D1A8027D3B15449EA3A746C110592E93_11</vt:lpwstr>
  </property>
  <property fmtid="{D5CDD505-2E9C-101B-9397-08002B2CF9AE}" pid="4" name="KSOTemplateDocerSaveRecord">
    <vt:lpwstr>eyJoZGlkIjoiMWMzZjg4ZGEwZjRlYWFkYzk1NzBkY2FhM2FhMGU3MTkiLCJ1c2VySWQiOiIyMzg5MTE4ODYifQ==</vt:lpwstr>
  </property>
</Properties>
</file>